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449" w:rsidRDefault="00B40449" w:rsidP="00B40449">
      <w:pPr>
        <w:spacing w:line="480" w:lineRule="auto"/>
        <w:jc w:val="center"/>
        <w:rPr>
          <w:rFonts w:ascii="Times New Roman" w:hAnsi="Times New Roman" w:cs="Times New Roman"/>
          <w:sz w:val="24"/>
          <w:szCs w:val="24"/>
          <w:lang w:val="en-GB"/>
        </w:rPr>
      </w:pPr>
    </w:p>
    <w:p w:rsidR="00B40449" w:rsidRDefault="00B40449" w:rsidP="00B40449">
      <w:pPr>
        <w:spacing w:line="480" w:lineRule="auto"/>
        <w:jc w:val="center"/>
        <w:rPr>
          <w:rFonts w:ascii="Times New Roman" w:hAnsi="Times New Roman" w:cs="Times New Roman"/>
          <w:sz w:val="24"/>
          <w:szCs w:val="24"/>
          <w:lang w:val="en-GB"/>
        </w:rPr>
      </w:pPr>
    </w:p>
    <w:p w:rsidR="00B40449" w:rsidRDefault="00B40449" w:rsidP="00B40449">
      <w:pPr>
        <w:spacing w:line="480" w:lineRule="auto"/>
        <w:jc w:val="center"/>
        <w:rPr>
          <w:rFonts w:ascii="Times New Roman" w:hAnsi="Times New Roman" w:cs="Times New Roman"/>
          <w:sz w:val="24"/>
          <w:szCs w:val="24"/>
          <w:lang w:val="en-GB"/>
        </w:rPr>
      </w:pPr>
    </w:p>
    <w:p w:rsidR="00B40449" w:rsidRDefault="00B40449" w:rsidP="00B40449">
      <w:pPr>
        <w:spacing w:line="480" w:lineRule="auto"/>
        <w:jc w:val="center"/>
        <w:rPr>
          <w:rFonts w:ascii="Times New Roman" w:hAnsi="Times New Roman" w:cs="Times New Roman"/>
          <w:sz w:val="24"/>
          <w:szCs w:val="24"/>
          <w:lang w:val="en-GB"/>
        </w:rPr>
      </w:pPr>
    </w:p>
    <w:p w:rsidR="00B40449" w:rsidRDefault="00B40449" w:rsidP="00B40449">
      <w:pPr>
        <w:spacing w:line="480" w:lineRule="auto"/>
        <w:jc w:val="center"/>
        <w:rPr>
          <w:rFonts w:ascii="Times New Roman" w:hAnsi="Times New Roman" w:cs="Times New Roman"/>
          <w:sz w:val="24"/>
          <w:szCs w:val="24"/>
          <w:lang w:val="en-GB"/>
        </w:rPr>
      </w:pPr>
    </w:p>
    <w:p w:rsidR="00B40449" w:rsidRDefault="00B40449" w:rsidP="00B40449">
      <w:pPr>
        <w:spacing w:line="480" w:lineRule="auto"/>
        <w:jc w:val="center"/>
        <w:rPr>
          <w:rFonts w:ascii="Times New Roman" w:hAnsi="Times New Roman" w:cs="Times New Roman"/>
          <w:sz w:val="24"/>
          <w:szCs w:val="24"/>
          <w:lang w:val="en-GB"/>
        </w:rPr>
      </w:pPr>
    </w:p>
    <w:p w:rsidR="00B40449" w:rsidRDefault="00B40449" w:rsidP="00B40449">
      <w:pPr>
        <w:spacing w:line="480" w:lineRule="auto"/>
        <w:jc w:val="center"/>
        <w:rPr>
          <w:rFonts w:ascii="Times New Roman" w:hAnsi="Times New Roman" w:cs="Times New Roman"/>
          <w:sz w:val="24"/>
          <w:szCs w:val="24"/>
          <w:lang w:val="en-GB"/>
        </w:rPr>
      </w:pPr>
    </w:p>
    <w:p w:rsidR="00B40449" w:rsidRDefault="00B40449" w:rsidP="00B40449">
      <w:pPr>
        <w:spacing w:line="480" w:lineRule="auto"/>
        <w:jc w:val="center"/>
        <w:rPr>
          <w:rFonts w:ascii="Times New Roman" w:hAnsi="Times New Roman" w:cs="Times New Roman"/>
          <w:sz w:val="24"/>
          <w:szCs w:val="24"/>
          <w:lang w:val="en-GB"/>
        </w:rPr>
      </w:pPr>
    </w:p>
    <w:p w:rsidR="00B40449" w:rsidRDefault="00B40449" w:rsidP="00B40449">
      <w:pPr>
        <w:spacing w:line="480" w:lineRule="auto"/>
        <w:jc w:val="center"/>
        <w:rPr>
          <w:rFonts w:ascii="Times New Roman" w:hAnsi="Times New Roman" w:cs="Times New Roman"/>
          <w:sz w:val="24"/>
          <w:szCs w:val="24"/>
          <w:lang w:val="en-GB"/>
        </w:rPr>
      </w:pPr>
    </w:p>
    <w:p w:rsidR="00B40449" w:rsidRPr="00B40449" w:rsidRDefault="00B40449" w:rsidP="00B40449">
      <w:pPr>
        <w:spacing w:line="480" w:lineRule="auto"/>
        <w:jc w:val="center"/>
        <w:rPr>
          <w:rFonts w:ascii="Times New Roman" w:hAnsi="Times New Roman" w:cs="Times New Roman"/>
          <w:sz w:val="24"/>
          <w:szCs w:val="24"/>
          <w:lang w:val="en-GB"/>
        </w:rPr>
      </w:pPr>
      <w:r w:rsidRPr="00B40449">
        <w:rPr>
          <w:rFonts w:ascii="Times New Roman" w:hAnsi="Times New Roman" w:cs="Times New Roman"/>
          <w:sz w:val="24"/>
          <w:szCs w:val="24"/>
          <w:lang w:val="en-GB"/>
        </w:rPr>
        <w:t>Income transfers</w:t>
      </w:r>
    </w:p>
    <w:p w:rsidR="00B40449" w:rsidRPr="00B40449" w:rsidRDefault="00B40449" w:rsidP="00B40449">
      <w:pPr>
        <w:spacing w:line="480" w:lineRule="auto"/>
        <w:jc w:val="center"/>
        <w:rPr>
          <w:rFonts w:ascii="Times New Roman" w:hAnsi="Times New Roman" w:cs="Times New Roman"/>
          <w:sz w:val="24"/>
          <w:szCs w:val="24"/>
          <w:lang w:val="en-GB"/>
        </w:rPr>
      </w:pPr>
      <w:r w:rsidRPr="00B40449">
        <w:rPr>
          <w:rFonts w:ascii="Times New Roman" w:hAnsi="Times New Roman" w:cs="Times New Roman"/>
          <w:sz w:val="24"/>
          <w:szCs w:val="24"/>
          <w:lang w:val="en-GB"/>
        </w:rPr>
        <w:t>Student’s name</w:t>
      </w:r>
    </w:p>
    <w:p w:rsidR="00B40449" w:rsidRPr="00B40449" w:rsidRDefault="00B40449" w:rsidP="00B40449">
      <w:pPr>
        <w:spacing w:line="480" w:lineRule="auto"/>
        <w:jc w:val="center"/>
        <w:rPr>
          <w:rFonts w:ascii="Times New Roman" w:hAnsi="Times New Roman" w:cs="Times New Roman"/>
          <w:sz w:val="24"/>
          <w:szCs w:val="24"/>
          <w:lang w:val="en-GB"/>
        </w:rPr>
      </w:pPr>
      <w:r w:rsidRPr="00B40449">
        <w:rPr>
          <w:rFonts w:ascii="Times New Roman" w:hAnsi="Times New Roman" w:cs="Times New Roman"/>
          <w:sz w:val="24"/>
          <w:szCs w:val="24"/>
          <w:lang w:val="en-GB"/>
        </w:rPr>
        <w:t>Institutional affiliation</w:t>
      </w:r>
    </w:p>
    <w:p w:rsidR="00B40449" w:rsidRPr="00B40449" w:rsidRDefault="00B40449" w:rsidP="00B40449">
      <w:pPr>
        <w:spacing w:line="480" w:lineRule="auto"/>
        <w:jc w:val="center"/>
        <w:rPr>
          <w:rFonts w:ascii="Times New Roman" w:hAnsi="Times New Roman" w:cs="Times New Roman"/>
          <w:sz w:val="24"/>
          <w:szCs w:val="24"/>
          <w:lang w:val="en-GB"/>
        </w:rPr>
      </w:pPr>
      <w:r w:rsidRPr="00B40449">
        <w:rPr>
          <w:rFonts w:ascii="Times New Roman" w:hAnsi="Times New Roman" w:cs="Times New Roman"/>
          <w:sz w:val="24"/>
          <w:szCs w:val="24"/>
          <w:lang w:val="en-GB"/>
        </w:rPr>
        <w:t>Date</w:t>
      </w: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1B1F2A" w:rsidRPr="00BC3E9B" w:rsidRDefault="001B1F2A" w:rsidP="00BC3E9B">
      <w:pPr>
        <w:spacing w:line="480" w:lineRule="auto"/>
        <w:jc w:val="center"/>
        <w:rPr>
          <w:rFonts w:ascii="Times New Roman" w:hAnsi="Times New Roman" w:cs="Times New Roman"/>
          <w:b/>
          <w:sz w:val="24"/>
          <w:szCs w:val="24"/>
          <w:lang w:val="en-GB"/>
        </w:rPr>
      </w:pPr>
      <w:r w:rsidRPr="00BC3E9B">
        <w:rPr>
          <w:rFonts w:ascii="Times New Roman" w:hAnsi="Times New Roman" w:cs="Times New Roman"/>
          <w:b/>
          <w:sz w:val="24"/>
          <w:szCs w:val="24"/>
          <w:lang w:val="en-GB"/>
        </w:rPr>
        <w:lastRenderedPageBreak/>
        <w:t xml:space="preserve">Income </w:t>
      </w:r>
      <w:r w:rsidR="00BC3E9B" w:rsidRPr="00BC3E9B">
        <w:rPr>
          <w:rFonts w:ascii="Times New Roman" w:hAnsi="Times New Roman" w:cs="Times New Roman"/>
          <w:b/>
          <w:sz w:val="24"/>
          <w:szCs w:val="24"/>
          <w:lang w:val="en-GB"/>
        </w:rPr>
        <w:t>Transfer</w:t>
      </w:r>
    </w:p>
    <w:p w:rsidR="001B1F2A" w:rsidRPr="00B40449" w:rsidRDefault="001B1F2A" w:rsidP="00BC3E9B">
      <w:pPr>
        <w:spacing w:line="480" w:lineRule="auto"/>
        <w:ind w:firstLine="720"/>
        <w:rPr>
          <w:rFonts w:ascii="Times New Roman" w:hAnsi="Times New Roman" w:cs="Times New Roman"/>
          <w:sz w:val="24"/>
          <w:szCs w:val="24"/>
          <w:lang w:val="en-GB"/>
        </w:rPr>
      </w:pPr>
      <w:r w:rsidRPr="00B40449">
        <w:rPr>
          <w:rFonts w:ascii="Times New Roman" w:hAnsi="Times New Roman" w:cs="Times New Roman"/>
          <w:sz w:val="24"/>
          <w:szCs w:val="24"/>
          <w:lang w:val="en-GB"/>
        </w:rPr>
        <w:t>Income transfer is defined as the redistributions of wealth and payment that is made with services or goods being received. The payments made are considered as non-exhaustive because they do not have the ability of directly absorbing resources or creating an output. Some examples of income transfer include social security, welfare, financial aid and subsidies from the government for specific business. For calculation of gross domestic product(GDP), the government does not consider income transfers which are the relocation of the capital from one party to the other. Income transfers are not services or goods thus do not represent any form of final demand</w:t>
      </w:r>
      <w:r w:rsidR="00713F2E">
        <w:rPr>
          <w:rFonts w:ascii="Times New Roman" w:hAnsi="Times New Roman" w:cs="Times New Roman"/>
          <w:sz w:val="24"/>
          <w:szCs w:val="24"/>
          <w:lang w:val="en-GB"/>
        </w:rPr>
        <w:t xml:space="preserve"> (</w:t>
      </w:r>
      <w:r w:rsidR="00713F2E" w:rsidRPr="00713F2E">
        <w:rPr>
          <w:rFonts w:ascii="Times New Roman" w:hAnsi="Times New Roman" w:cs="Times New Roman"/>
          <w:color w:val="222222"/>
          <w:sz w:val="24"/>
          <w:szCs w:val="24"/>
          <w:shd w:val="clear" w:color="auto" w:fill="FFFFFF"/>
        </w:rPr>
        <w:t>Dyreng, &amp; Markle, 2016)</w:t>
      </w:r>
      <w:r w:rsidRPr="00B40449">
        <w:rPr>
          <w:rFonts w:ascii="Times New Roman" w:hAnsi="Times New Roman" w:cs="Times New Roman"/>
          <w:sz w:val="24"/>
          <w:szCs w:val="24"/>
          <w:lang w:val="en-GB"/>
        </w:rPr>
        <w:t>.</w:t>
      </w:r>
    </w:p>
    <w:p w:rsidR="001B1F2A" w:rsidRPr="00BC3E9B" w:rsidRDefault="001B1F2A" w:rsidP="00BC3E9B">
      <w:pPr>
        <w:spacing w:line="480" w:lineRule="auto"/>
        <w:jc w:val="center"/>
        <w:rPr>
          <w:rFonts w:ascii="Times New Roman" w:hAnsi="Times New Roman" w:cs="Times New Roman"/>
          <w:b/>
          <w:sz w:val="24"/>
          <w:szCs w:val="24"/>
          <w:lang w:val="en-GB"/>
        </w:rPr>
      </w:pPr>
      <w:r w:rsidRPr="00BC3E9B">
        <w:rPr>
          <w:rFonts w:ascii="Times New Roman" w:hAnsi="Times New Roman" w:cs="Times New Roman"/>
          <w:b/>
          <w:sz w:val="24"/>
          <w:szCs w:val="24"/>
          <w:lang w:val="en-GB"/>
        </w:rPr>
        <w:t xml:space="preserve">How </w:t>
      </w:r>
      <w:r w:rsidR="00BC3E9B" w:rsidRPr="00BC3E9B">
        <w:rPr>
          <w:rFonts w:ascii="Times New Roman" w:hAnsi="Times New Roman" w:cs="Times New Roman"/>
          <w:b/>
          <w:sz w:val="24"/>
          <w:szCs w:val="24"/>
          <w:lang w:val="en-GB"/>
        </w:rPr>
        <w:t>Traditional Income Transfers Eradicate Poverty</w:t>
      </w:r>
    </w:p>
    <w:p w:rsidR="001B1F2A" w:rsidRDefault="001B1F2A" w:rsidP="00BC3E9B">
      <w:pPr>
        <w:spacing w:line="480" w:lineRule="auto"/>
        <w:ind w:firstLine="720"/>
        <w:rPr>
          <w:rFonts w:ascii="Times New Roman" w:hAnsi="Times New Roman" w:cs="Times New Roman"/>
          <w:sz w:val="24"/>
          <w:szCs w:val="24"/>
          <w:lang w:val="en-GB"/>
        </w:rPr>
      </w:pPr>
      <w:r w:rsidRPr="00B40449">
        <w:rPr>
          <w:rFonts w:ascii="Times New Roman" w:hAnsi="Times New Roman" w:cs="Times New Roman"/>
          <w:sz w:val="24"/>
          <w:szCs w:val="24"/>
          <w:lang w:val="en-GB"/>
        </w:rPr>
        <w:t>Reduction of poverty is the primary agendas of most governments in the world. Many citizens currently live in subsistence poverty because of the level of their earnings and some due to the income transfer programs of the government. In the traditional income transfers, poverty will not be eradicated because individuals who earn too much are always considered victims of poverty but lack the training, human capital, family support and education of providing the required economic stability to their children. The traditional income transfers have done little in lifting people out of poverty</w:t>
      </w:r>
      <w:r w:rsidR="00713F2E">
        <w:rPr>
          <w:rFonts w:ascii="Times New Roman" w:hAnsi="Times New Roman" w:cs="Times New Roman"/>
          <w:sz w:val="24"/>
          <w:szCs w:val="24"/>
          <w:lang w:val="en-GB"/>
        </w:rPr>
        <w:t xml:space="preserve"> (</w:t>
      </w:r>
      <w:r w:rsidR="00713F2E" w:rsidRPr="00713F2E">
        <w:rPr>
          <w:rFonts w:ascii="Times New Roman" w:hAnsi="Times New Roman" w:cs="Times New Roman"/>
          <w:color w:val="222222"/>
          <w:sz w:val="24"/>
          <w:szCs w:val="24"/>
          <w:shd w:val="clear" w:color="auto" w:fill="FFFFFF"/>
        </w:rPr>
        <w:t>Neumayer, &amp; Plümper, 2016)</w:t>
      </w:r>
      <w:r w:rsidRPr="00B40449">
        <w:rPr>
          <w:rFonts w:ascii="Times New Roman" w:hAnsi="Times New Roman" w:cs="Times New Roman"/>
          <w:sz w:val="24"/>
          <w:szCs w:val="24"/>
          <w:lang w:val="en-GB"/>
        </w:rPr>
        <w:t xml:space="preserve">. Trying to reduce income inequality and social assistance cannot be accomplished with the use of traditional income transfers. Many have argued that income transfers play a critical role in trying to lessen the impact seen on material deprivation and rise in incomes will essentially require the build of human capital that is economically disadvantaged. The traditional income </w:t>
      </w:r>
      <w:r w:rsidR="00295D2F" w:rsidRPr="00B40449">
        <w:rPr>
          <w:rFonts w:ascii="Times New Roman" w:hAnsi="Times New Roman" w:cs="Times New Roman"/>
          <w:sz w:val="24"/>
          <w:szCs w:val="24"/>
          <w:lang w:val="en-GB"/>
        </w:rPr>
        <w:t>transfer suggests that income of low-income workers should be increased and reduces</w:t>
      </w:r>
      <w:r w:rsidRPr="00B40449">
        <w:rPr>
          <w:rFonts w:ascii="Times New Roman" w:hAnsi="Times New Roman" w:cs="Times New Roman"/>
          <w:sz w:val="24"/>
          <w:szCs w:val="24"/>
          <w:lang w:val="en-GB"/>
        </w:rPr>
        <w:t xml:space="preserve"> the number of families that are headed by a female. Vigorous enforcement of child support and expansion of eligibility would increase unemployment insurance thus assisting families living in poverty</w:t>
      </w:r>
      <w:r w:rsidR="00713F2E">
        <w:rPr>
          <w:rFonts w:ascii="Times New Roman" w:hAnsi="Times New Roman" w:cs="Times New Roman"/>
          <w:sz w:val="24"/>
          <w:szCs w:val="24"/>
          <w:lang w:val="en-GB"/>
        </w:rPr>
        <w:t xml:space="preserve"> (</w:t>
      </w:r>
      <w:r w:rsidR="00713F2E" w:rsidRPr="00713F2E">
        <w:rPr>
          <w:rFonts w:ascii="Times New Roman" w:hAnsi="Times New Roman" w:cs="Times New Roman"/>
          <w:color w:val="222222"/>
          <w:sz w:val="24"/>
          <w:szCs w:val="24"/>
          <w:shd w:val="clear" w:color="auto" w:fill="FFFFFF"/>
        </w:rPr>
        <w:t>Rossignolo, 2017)</w:t>
      </w:r>
      <w:r w:rsidRPr="00B40449">
        <w:rPr>
          <w:rFonts w:ascii="Times New Roman" w:hAnsi="Times New Roman" w:cs="Times New Roman"/>
          <w:sz w:val="24"/>
          <w:szCs w:val="24"/>
          <w:lang w:val="en-GB"/>
        </w:rPr>
        <w:t xml:space="preserve">. Use of traditional income transfer will not reduce the level of poverty because there is not an expansion of programs that help in preparing the men who are disadvantaged for college life and parenthood responsibilities.  </w:t>
      </w: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B40449" w:rsidRDefault="00B40449" w:rsidP="00B40449">
      <w:pPr>
        <w:spacing w:line="480" w:lineRule="auto"/>
        <w:rPr>
          <w:rFonts w:ascii="Times New Roman" w:hAnsi="Times New Roman" w:cs="Times New Roman"/>
          <w:sz w:val="24"/>
          <w:szCs w:val="24"/>
          <w:lang w:val="en-GB"/>
        </w:rPr>
      </w:pPr>
    </w:p>
    <w:p w:rsidR="00EA0E21" w:rsidRDefault="00EA0E21" w:rsidP="00B40449">
      <w:pPr>
        <w:spacing w:line="480" w:lineRule="auto"/>
        <w:rPr>
          <w:rFonts w:ascii="Times New Roman" w:hAnsi="Times New Roman" w:cs="Times New Roman"/>
          <w:sz w:val="24"/>
          <w:szCs w:val="24"/>
          <w:lang w:val="en-GB"/>
        </w:rPr>
      </w:pPr>
    </w:p>
    <w:p w:rsidR="00B40449" w:rsidRPr="00C22194" w:rsidRDefault="00B40449" w:rsidP="00C22194">
      <w:pPr>
        <w:spacing w:line="480" w:lineRule="auto"/>
        <w:jc w:val="center"/>
        <w:rPr>
          <w:rFonts w:ascii="Times New Roman" w:hAnsi="Times New Roman" w:cs="Times New Roman"/>
          <w:b/>
          <w:sz w:val="24"/>
          <w:szCs w:val="24"/>
          <w:lang w:val="en-GB"/>
        </w:rPr>
      </w:pPr>
      <w:r w:rsidRPr="00C22194">
        <w:rPr>
          <w:rFonts w:ascii="Times New Roman" w:hAnsi="Times New Roman" w:cs="Times New Roman"/>
          <w:b/>
          <w:sz w:val="24"/>
          <w:szCs w:val="24"/>
          <w:lang w:val="en-GB"/>
        </w:rPr>
        <w:t>References</w:t>
      </w:r>
    </w:p>
    <w:p w:rsidR="00713F2E" w:rsidRPr="00713F2E" w:rsidRDefault="00713F2E" w:rsidP="00713F2E">
      <w:pPr>
        <w:spacing w:line="480" w:lineRule="auto"/>
        <w:ind w:left="720" w:hanging="720"/>
        <w:rPr>
          <w:rFonts w:ascii="Times New Roman" w:hAnsi="Times New Roman" w:cs="Times New Roman"/>
          <w:color w:val="222222"/>
          <w:sz w:val="24"/>
          <w:szCs w:val="24"/>
          <w:shd w:val="clear" w:color="auto" w:fill="FFFFFF"/>
        </w:rPr>
      </w:pPr>
      <w:r w:rsidRPr="00713F2E">
        <w:rPr>
          <w:rFonts w:ascii="Times New Roman" w:hAnsi="Times New Roman" w:cs="Times New Roman"/>
          <w:color w:val="222222"/>
          <w:sz w:val="24"/>
          <w:szCs w:val="24"/>
          <w:shd w:val="clear" w:color="auto" w:fill="FFFFFF"/>
        </w:rPr>
        <w:t>Dyreng, S. D., &amp; Markle, K. S. (2016). The effect of financial constraints on income shifting by US multinationals. </w:t>
      </w:r>
      <w:r w:rsidRPr="00713F2E">
        <w:rPr>
          <w:rFonts w:ascii="Times New Roman" w:hAnsi="Times New Roman" w:cs="Times New Roman"/>
          <w:i/>
          <w:iCs/>
          <w:color w:val="222222"/>
          <w:sz w:val="24"/>
          <w:szCs w:val="24"/>
          <w:shd w:val="clear" w:color="auto" w:fill="FFFFFF"/>
        </w:rPr>
        <w:t>The Accounting Review</w:t>
      </w:r>
      <w:r w:rsidRPr="00713F2E">
        <w:rPr>
          <w:rFonts w:ascii="Times New Roman" w:hAnsi="Times New Roman" w:cs="Times New Roman"/>
          <w:color w:val="222222"/>
          <w:sz w:val="24"/>
          <w:szCs w:val="24"/>
          <w:shd w:val="clear" w:color="auto" w:fill="FFFFFF"/>
        </w:rPr>
        <w:t>, </w:t>
      </w:r>
      <w:r w:rsidRPr="00713F2E">
        <w:rPr>
          <w:rFonts w:ascii="Times New Roman" w:hAnsi="Times New Roman" w:cs="Times New Roman"/>
          <w:i/>
          <w:iCs/>
          <w:color w:val="222222"/>
          <w:sz w:val="24"/>
          <w:szCs w:val="24"/>
          <w:shd w:val="clear" w:color="auto" w:fill="FFFFFF"/>
        </w:rPr>
        <w:t>91</w:t>
      </w:r>
      <w:r w:rsidRPr="00713F2E">
        <w:rPr>
          <w:rFonts w:ascii="Times New Roman" w:hAnsi="Times New Roman" w:cs="Times New Roman"/>
          <w:color w:val="222222"/>
          <w:sz w:val="24"/>
          <w:szCs w:val="24"/>
          <w:shd w:val="clear" w:color="auto" w:fill="FFFFFF"/>
        </w:rPr>
        <w:t>(6), 1601-1627.</w:t>
      </w:r>
    </w:p>
    <w:p w:rsidR="00713F2E" w:rsidRPr="00713F2E" w:rsidRDefault="00713F2E" w:rsidP="00713F2E">
      <w:pPr>
        <w:spacing w:line="480" w:lineRule="auto"/>
        <w:ind w:left="720" w:hanging="720"/>
        <w:rPr>
          <w:rFonts w:ascii="Times New Roman" w:hAnsi="Times New Roman" w:cs="Times New Roman"/>
          <w:sz w:val="24"/>
          <w:szCs w:val="24"/>
          <w:lang w:val="en-GB"/>
        </w:rPr>
      </w:pPr>
      <w:r w:rsidRPr="00713F2E">
        <w:rPr>
          <w:rFonts w:ascii="Times New Roman" w:hAnsi="Times New Roman" w:cs="Times New Roman"/>
          <w:color w:val="222222"/>
          <w:sz w:val="24"/>
          <w:szCs w:val="24"/>
          <w:shd w:val="clear" w:color="auto" w:fill="FFFFFF"/>
        </w:rPr>
        <w:t>Neumayer, E., &amp; Plümper, T. (2016). Inequalities of income and inequalities of longevity: A cross-country study. </w:t>
      </w:r>
      <w:r w:rsidRPr="00713F2E">
        <w:rPr>
          <w:rFonts w:ascii="Times New Roman" w:hAnsi="Times New Roman" w:cs="Times New Roman"/>
          <w:i/>
          <w:iCs/>
          <w:color w:val="222222"/>
          <w:sz w:val="24"/>
          <w:szCs w:val="24"/>
          <w:shd w:val="clear" w:color="auto" w:fill="FFFFFF"/>
        </w:rPr>
        <w:t>American journal of public health</w:t>
      </w:r>
      <w:r w:rsidRPr="00713F2E">
        <w:rPr>
          <w:rFonts w:ascii="Times New Roman" w:hAnsi="Times New Roman" w:cs="Times New Roman"/>
          <w:color w:val="222222"/>
          <w:sz w:val="24"/>
          <w:szCs w:val="24"/>
          <w:shd w:val="clear" w:color="auto" w:fill="FFFFFF"/>
        </w:rPr>
        <w:t>, </w:t>
      </w:r>
      <w:r w:rsidRPr="00713F2E">
        <w:rPr>
          <w:rFonts w:ascii="Times New Roman" w:hAnsi="Times New Roman" w:cs="Times New Roman"/>
          <w:i/>
          <w:iCs/>
          <w:color w:val="222222"/>
          <w:sz w:val="24"/>
          <w:szCs w:val="24"/>
          <w:shd w:val="clear" w:color="auto" w:fill="FFFFFF"/>
        </w:rPr>
        <w:t>106</w:t>
      </w:r>
      <w:r w:rsidRPr="00713F2E">
        <w:rPr>
          <w:rFonts w:ascii="Times New Roman" w:hAnsi="Times New Roman" w:cs="Times New Roman"/>
          <w:color w:val="222222"/>
          <w:sz w:val="24"/>
          <w:szCs w:val="24"/>
          <w:shd w:val="clear" w:color="auto" w:fill="FFFFFF"/>
        </w:rPr>
        <w:t>(1), 160-165.</w:t>
      </w:r>
    </w:p>
    <w:p w:rsidR="00713F2E" w:rsidRPr="00713F2E" w:rsidRDefault="00713F2E" w:rsidP="00713F2E">
      <w:pPr>
        <w:spacing w:line="480" w:lineRule="auto"/>
        <w:ind w:left="720" w:hanging="720"/>
        <w:rPr>
          <w:rFonts w:ascii="Times New Roman" w:hAnsi="Times New Roman" w:cs="Times New Roman"/>
          <w:color w:val="222222"/>
          <w:sz w:val="24"/>
          <w:szCs w:val="24"/>
          <w:shd w:val="clear" w:color="auto" w:fill="FFFFFF"/>
        </w:rPr>
      </w:pPr>
      <w:r w:rsidRPr="00713F2E">
        <w:rPr>
          <w:rFonts w:ascii="Times New Roman" w:hAnsi="Times New Roman" w:cs="Times New Roman"/>
          <w:color w:val="222222"/>
          <w:sz w:val="24"/>
          <w:szCs w:val="24"/>
          <w:shd w:val="clear" w:color="auto" w:fill="FFFFFF"/>
        </w:rPr>
        <w:t>Rossignolo, D. (2017). Taxes, Expenditures, Poverty, and Income Distribution in A</w:t>
      </w:r>
      <w:r>
        <w:rPr>
          <w:rFonts w:ascii="Times New Roman" w:hAnsi="Times New Roman" w:cs="Times New Roman"/>
          <w:color w:val="222222"/>
          <w:sz w:val="24"/>
          <w:szCs w:val="24"/>
          <w:shd w:val="clear" w:color="auto" w:fill="FFFFFF"/>
        </w:rPr>
        <w:t>merica</w:t>
      </w:r>
      <w:r w:rsidRPr="00713F2E">
        <w:rPr>
          <w:rFonts w:ascii="Times New Roman" w:hAnsi="Times New Roman" w:cs="Times New Roman"/>
          <w:color w:val="222222"/>
          <w:sz w:val="24"/>
          <w:szCs w:val="24"/>
          <w:shd w:val="clear" w:color="auto" w:fill="FFFFFF"/>
        </w:rPr>
        <w:t>.</w:t>
      </w:r>
    </w:p>
    <w:p w:rsidR="00196665" w:rsidRPr="00B40449" w:rsidRDefault="00B8105F" w:rsidP="00B40449">
      <w:pPr>
        <w:spacing w:line="480" w:lineRule="auto"/>
        <w:rPr>
          <w:rFonts w:ascii="Times New Roman" w:hAnsi="Times New Roman" w:cs="Times New Roman"/>
          <w:sz w:val="24"/>
          <w:szCs w:val="24"/>
          <w:lang w:val="en-GB"/>
        </w:rPr>
      </w:pPr>
      <w:r w:rsidRPr="00B40449">
        <w:rPr>
          <w:rFonts w:ascii="Times New Roman" w:hAnsi="Times New Roman" w:cs="Times New Roman"/>
          <w:sz w:val="24"/>
          <w:szCs w:val="24"/>
          <w:lang w:val="en-GB"/>
        </w:rPr>
        <w:t xml:space="preserve"> </w:t>
      </w:r>
    </w:p>
    <w:sectPr w:rsidR="00196665" w:rsidRPr="00B40449" w:rsidSect="00B40449">
      <w:headerReference w:type="default" r:id="rId6"/>
      <w:headerReference w:type="first" r:id="rId7"/>
      <w:pgSz w:w="12240" w:h="15840"/>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7AA7" w:rsidRDefault="00FF7AA7" w:rsidP="00B40449">
      <w:r>
        <w:separator/>
      </w:r>
    </w:p>
  </w:endnote>
  <w:endnote w:type="continuationSeparator" w:id="0">
    <w:p w:rsidR="00FF7AA7" w:rsidRDefault="00FF7AA7" w:rsidP="00B404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7AA7" w:rsidRDefault="00FF7AA7" w:rsidP="00B40449">
      <w:r>
        <w:separator/>
      </w:r>
    </w:p>
  </w:footnote>
  <w:footnote w:type="continuationSeparator" w:id="0">
    <w:p w:rsidR="00FF7AA7" w:rsidRDefault="00FF7AA7" w:rsidP="00B404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61613"/>
      <w:docPartObj>
        <w:docPartGallery w:val="Page Numbers (Top of Page)"/>
        <w:docPartUnique/>
      </w:docPartObj>
    </w:sdtPr>
    <w:sdtContent>
      <w:p w:rsidR="00B40449" w:rsidRDefault="00B40449">
        <w:pPr>
          <w:pStyle w:val="Header"/>
          <w:jc w:val="right"/>
        </w:pPr>
        <w:r w:rsidRPr="00B40449">
          <w:rPr>
            <w:rFonts w:ascii="Times New Roman" w:hAnsi="Times New Roman" w:cs="Times New Roman"/>
            <w:sz w:val="24"/>
            <w:szCs w:val="24"/>
          </w:rPr>
          <w:t>INCOME TRANSFER</w:t>
        </w:r>
        <w:r>
          <w:t xml:space="preserve"> </w:t>
        </w:r>
        <w:r>
          <w:tab/>
        </w:r>
        <w:r>
          <w:tab/>
        </w:r>
        <w:fldSimple w:instr=" PAGE   \* MERGEFORMAT ">
          <w:r w:rsidR="00C22194">
            <w:rPr>
              <w:noProof/>
            </w:rPr>
            <w:t>3</w:t>
          </w:r>
        </w:fldSimple>
      </w:p>
    </w:sdtContent>
  </w:sdt>
  <w:p w:rsidR="00B40449" w:rsidRDefault="00B4044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49" w:rsidRPr="00B40449" w:rsidRDefault="00B40449" w:rsidP="00B40449">
    <w:pPr>
      <w:pStyle w:val="Header"/>
      <w:spacing w:line="480" w:lineRule="auto"/>
      <w:jc w:val="right"/>
      <w:rPr>
        <w:rFonts w:ascii="Times New Roman" w:hAnsi="Times New Roman" w:cs="Times New Roman"/>
        <w:sz w:val="24"/>
        <w:szCs w:val="24"/>
      </w:rPr>
    </w:pPr>
    <w:r w:rsidRPr="00B40449">
      <w:rPr>
        <w:rFonts w:ascii="Times New Roman" w:hAnsi="Times New Roman" w:cs="Times New Roman"/>
        <w:sz w:val="24"/>
        <w:szCs w:val="24"/>
      </w:rPr>
      <w:t>Running head: INCOME TRANSFER</w:t>
    </w:r>
    <w:r>
      <w:rPr>
        <w:rFonts w:ascii="Times New Roman" w:hAnsi="Times New Roman" w:cs="Times New Roman"/>
        <w:sz w:val="24"/>
        <w:szCs w:val="24"/>
      </w:rPr>
      <w:tab/>
    </w:r>
    <w:r>
      <w:rPr>
        <w:rFonts w:ascii="Times New Roman" w:hAnsi="Times New Roman" w:cs="Times New Roman"/>
        <w:sz w:val="24"/>
        <w:szCs w:val="24"/>
      </w:rPr>
      <w:tab/>
    </w:r>
    <w:r w:rsidRPr="00B40449">
      <w:rPr>
        <w:rFonts w:ascii="Times New Roman" w:hAnsi="Times New Roman" w:cs="Times New Roman"/>
        <w:sz w:val="24"/>
        <w:szCs w:val="24"/>
      </w:rPr>
      <w:t xml:space="preserve"> </w:t>
    </w:r>
    <w:sdt>
      <w:sdtPr>
        <w:rPr>
          <w:rFonts w:ascii="Times New Roman" w:hAnsi="Times New Roman" w:cs="Times New Roman"/>
          <w:sz w:val="24"/>
          <w:szCs w:val="24"/>
        </w:rPr>
        <w:id w:val="4961576"/>
        <w:docPartObj>
          <w:docPartGallery w:val="Page Numbers (Top of Page)"/>
          <w:docPartUnique/>
        </w:docPartObj>
      </w:sdtPr>
      <w:sdtContent>
        <w:r w:rsidR="003657EA" w:rsidRPr="00B40449">
          <w:rPr>
            <w:rFonts w:ascii="Times New Roman" w:hAnsi="Times New Roman" w:cs="Times New Roman"/>
            <w:sz w:val="24"/>
            <w:szCs w:val="24"/>
          </w:rPr>
          <w:fldChar w:fldCharType="begin"/>
        </w:r>
        <w:r w:rsidRPr="00B40449">
          <w:rPr>
            <w:rFonts w:ascii="Times New Roman" w:hAnsi="Times New Roman" w:cs="Times New Roman"/>
            <w:sz w:val="24"/>
            <w:szCs w:val="24"/>
          </w:rPr>
          <w:instrText xml:space="preserve"> PAGE   \* MERGEFORMAT </w:instrText>
        </w:r>
        <w:r w:rsidR="003657EA" w:rsidRPr="00B40449">
          <w:rPr>
            <w:rFonts w:ascii="Times New Roman" w:hAnsi="Times New Roman" w:cs="Times New Roman"/>
            <w:sz w:val="24"/>
            <w:szCs w:val="24"/>
          </w:rPr>
          <w:fldChar w:fldCharType="separate"/>
        </w:r>
        <w:r w:rsidR="00FF7AA7">
          <w:rPr>
            <w:rFonts w:ascii="Times New Roman" w:hAnsi="Times New Roman" w:cs="Times New Roman"/>
            <w:noProof/>
            <w:sz w:val="24"/>
            <w:szCs w:val="24"/>
          </w:rPr>
          <w:t>1</w:t>
        </w:r>
        <w:r w:rsidR="003657EA" w:rsidRPr="00B40449">
          <w:rPr>
            <w:rFonts w:ascii="Times New Roman" w:hAnsi="Times New Roman" w:cs="Times New Roman"/>
            <w:sz w:val="24"/>
            <w:szCs w:val="24"/>
          </w:rPr>
          <w:fldChar w:fldCharType="end"/>
        </w:r>
      </w:sdtContent>
    </w:sdt>
  </w:p>
  <w:p w:rsidR="00B40449" w:rsidRDefault="00B4044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196665"/>
    <w:rsid w:val="00064A2F"/>
    <w:rsid w:val="00196665"/>
    <w:rsid w:val="001B1F2A"/>
    <w:rsid w:val="00202B5A"/>
    <w:rsid w:val="0027575A"/>
    <w:rsid w:val="00295D2F"/>
    <w:rsid w:val="002A66F3"/>
    <w:rsid w:val="00302E52"/>
    <w:rsid w:val="003657EA"/>
    <w:rsid w:val="003C3B56"/>
    <w:rsid w:val="004727CF"/>
    <w:rsid w:val="00516E69"/>
    <w:rsid w:val="00571D0D"/>
    <w:rsid w:val="00572058"/>
    <w:rsid w:val="00585432"/>
    <w:rsid w:val="005911AD"/>
    <w:rsid w:val="005E02C4"/>
    <w:rsid w:val="00713F2E"/>
    <w:rsid w:val="0075699E"/>
    <w:rsid w:val="00757149"/>
    <w:rsid w:val="008535AD"/>
    <w:rsid w:val="00862996"/>
    <w:rsid w:val="00907B8E"/>
    <w:rsid w:val="009650BF"/>
    <w:rsid w:val="00A10B7C"/>
    <w:rsid w:val="00A94080"/>
    <w:rsid w:val="00AC5F57"/>
    <w:rsid w:val="00B22DD6"/>
    <w:rsid w:val="00B34059"/>
    <w:rsid w:val="00B40449"/>
    <w:rsid w:val="00B8105F"/>
    <w:rsid w:val="00B821FA"/>
    <w:rsid w:val="00BC3E9B"/>
    <w:rsid w:val="00BC4F3D"/>
    <w:rsid w:val="00C22194"/>
    <w:rsid w:val="00C6126C"/>
    <w:rsid w:val="00CE62AA"/>
    <w:rsid w:val="00D0405E"/>
    <w:rsid w:val="00D32ACD"/>
    <w:rsid w:val="00D45142"/>
    <w:rsid w:val="00E83686"/>
    <w:rsid w:val="00EA0E21"/>
    <w:rsid w:val="00EA6A38"/>
    <w:rsid w:val="00F5054C"/>
    <w:rsid w:val="00F630B8"/>
    <w:rsid w:val="00FF7A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F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449"/>
    <w:pPr>
      <w:tabs>
        <w:tab w:val="center" w:pos="4680"/>
        <w:tab w:val="right" w:pos="9360"/>
      </w:tabs>
    </w:pPr>
  </w:style>
  <w:style w:type="character" w:customStyle="1" w:styleId="HeaderChar">
    <w:name w:val="Header Char"/>
    <w:basedOn w:val="DefaultParagraphFont"/>
    <w:link w:val="Header"/>
    <w:uiPriority w:val="99"/>
    <w:rsid w:val="00B40449"/>
  </w:style>
  <w:style w:type="paragraph" w:styleId="Footer">
    <w:name w:val="footer"/>
    <w:basedOn w:val="Normal"/>
    <w:link w:val="FooterChar"/>
    <w:uiPriority w:val="99"/>
    <w:semiHidden/>
    <w:unhideWhenUsed/>
    <w:rsid w:val="00B40449"/>
    <w:pPr>
      <w:tabs>
        <w:tab w:val="center" w:pos="4680"/>
        <w:tab w:val="right" w:pos="9360"/>
      </w:tabs>
    </w:pPr>
  </w:style>
  <w:style w:type="character" w:customStyle="1" w:styleId="FooterChar">
    <w:name w:val="Footer Char"/>
    <w:basedOn w:val="DefaultParagraphFont"/>
    <w:link w:val="Footer"/>
    <w:uiPriority w:val="99"/>
    <w:semiHidden/>
    <w:rsid w:val="00B4044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FRANK</cp:lastModifiedBy>
  <cp:revision>2</cp:revision>
  <dcterms:created xsi:type="dcterms:W3CDTF">2018-03-05T09:56:00Z</dcterms:created>
  <dcterms:modified xsi:type="dcterms:W3CDTF">2018-03-05T09:56:00Z</dcterms:modified>
</cp:coreProperties>
</file>